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8CF19" w14:textId="7B0425DC" w:rsidR="004C48D0" w:rsidRPr="00CA37C2" w:rsidRDefault="004E2FB3" w:rsidP="004E2FB3">
      <w:pPr>
        <w:spacing w:line="360" w:lineRule="auto"/>
        <w:ind w:left="-990" w:right="-868"/>
        <w:rPr>
          <w:rFonts w:ascii="Avenir Next LT Pro" w:eastAsia="Verdana" w:hAnsi="Avenir Next LT Pro" w:cs="Verdana"/>
          <w:b/>
          <w:bCs/>
          <w:color w:val="000000" w:themeColor="text1"/>
          <w:sz w:val="30"/>
          <w:szCs w:val="30"/>
          <w:lang w:val="en-GB"/>
        </w:rPr>
      </w:pPr>
      <w:r w:rsidRPr="00CA37C2">
        <w:rPr>
          <w:rFonts w:ascii="Avenir Next LT Pro" w:hAnsi="Avenir Next LT Pro"/>
          <w:b/>
          <w:bCs/>
          <w:noProof/>
          <w:color w:val="000000" w:themeColor="text1"/>
          <w:sz w:val="30"/>
          <w:szCs w:val="30"/>
          <w:lang w:val="en-GB"/>
        </w:rPr>
        <mc:AlternateContent>
          <mc:Choice Requires="wps">
            <w:drawing>
              <wp:anchor distT="0" distB="0" distL="114300" distR="114300" simplePos="0" relativeHeight="251658240"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E22D3" id="Rectangle 21" o:spid="_x0000_s1026" style="position:absolute;margin-left:-9.3pt;margin-top:1.45pt;width:17pt;height:1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" fillcolor="#009b77" stroked="f" strokeweight="2pt">
                <v:stroke joinstyle="round"/>
                <v:textbox inset="1.2699mm,1.2699mm,1.2699mm,1.2699mm"/>
                <w10:wrap anchorx="page"/>
              </v:rect>
            </w:pict>
          </mc:Fallback>
        </mc:AlternateContent>
      </w:r>
      <w:r w:rsidR="00A304BF" w:rsidRPr="00CA37C2">
        <w:rPr>
          <w:rFonts w:ascii="Avenir Next LT Pro" w:hAnsi="Avenir Next LT Pro"/>
          <w:b/>
          <w:bCs/>
          <w:color w:val="000000" w:themeColor="text1"/>
          <w:sz w:val="30"/>
          <w:szCs w:val="30"/>
          <w:lang w:val="en-GB"/>
        </w:rPr>
        <w:t>Press release</w:t>
      </w:r>
    </w:p>
    <w:p w14:paraId="0C69B5D1" w14:textId="77777777" w:rsidR="00270FCD" w:rsidRPr="00CA37C2" w:rsidRDefault="00270FCD" w:rsidP="004E2FB3">
      <w:pPr>
        <w:spacing w:line="360" w:lineRule="auto"/>
        <w:ind w:left="-990" w:right="-868"/>
        <w:jc w:val="both"/>
        <w:rPr>
          <w:rFonts w:ascii="Avenir Next LT Pro" w:eastAsia="Verdana" w:hAnsi="Avenir Next LT Pro" w:cs="Verdana"/>
          <w:color w:val="000000" w:themeColor="text1"/>
          <w:lang w:val="en-GB"/>
        </w:rPr>
      </w:pPr>
    </w:p>
    <w:p w14:paraId="08DD46CA" w14:textId="61EA9105" w:rsidR="00CA37C2" w:rsidRDefault="001B3B9D" w:rsidP="00CA37C2">
      <w:pPr>
        <w:spacing w:line="360" w:lineRule="auto"/>
        <w:ind w:left="-990" w:right="-868"/>
        <w:rPr>
          <w:rFonts w:ascii="Avenir Next LT Pro" w:eastAsia="Verdana" w:hAnsi="Avenir Next LT Pro" w:cs="Verdana"/>
          <w:color w:val="000000" w:themeColor="text1"/>
          <w:u w:val="single"/>
          <w:lang w:val="en-GB"/>
        </w:rPr>
      </w:pPr>
      <w:r w:rsidRPr="001B3B9D">
        <w:rPr>
          <w:rFonts w:ascii="Avenir Next LT Pro" w:eastAsia="Verdana" w:hAnsi="Avenir Next LT Pro" w:cs="Verdana"/>
          <w:color w:val="000000" w:themeColor="text1"/>
          <w:u w:val="single"/>
          <w:lang w:val="en-GB"/>
        </w:rPr>
        <w:t>Explore the Full Potential of Zirconia Solutions with GC</w:t>
      </w:r>
    </w:p>
    <w:p w14:paraId="34414775" w14:textId="77777777" w:rsidR="001B3B9D" w:rsidRPr="00CA37C2" w:rsidRDefault="001B3B9D" w:rsidP="00CA37C2">
      <w:pPr>
        <w:spacing w:line="360" w:lineRule="auto"/>
        <w:ind w:left="-990" w:right="-868"/>
        <w:rPr>
          <w:rFonts w:ascii="Avenir Next LT Pro" w:eastAsia="Verdana" w:hAnsi="Avenir Next LT Pro" w:cs="Verdana"/>
          <w:color w:val="000000" w:themeColor="text1"/>
          <w:u w:val="single"/>
          <w:lang w:val="en-GB"/>
        </w:rPr>
      </w:pPr>
    </w:p>
    <w:p w14:paraId="056FFD53" w14:textId="77777777" w:rsidR="001B3B9D" w:rsidRPr="001B3B9D" w:rsidRDefault="001B3B9D" w:rsidP="001B3B9D">
      <w:pPr>
        <w:spacing w:line="360" w:lineRule="auto"/>
        <w:ind w:left="-990" w:right="-868"/>
        <w:rPr>
          <w:rFonts w:ascii="Avenir Next LT Pro" w:eastAsia="Verdana" w:hAnsi="Avenir Next LT Pro" w:cs="Verdana"/>
          <w:color w:val="000000" w:themeColor="text1"/>
          <w:lang w:val="en-GB"/>
        </w:rPr>
      </w:pPr>
      <w:r w:rsidRPr="001B3B9D">
        <w:rPr>
          <w:rFonts w:ascii="Avenir Next LT Pro" w:eastAsia="Verdana" w:hAnsi="Avenir Next LT Pro" w:cs="Verdana"/>
          <w:color w:val="000000" w:themeColor="text1"/>
          <w:lang w:val="en-GB"/>
        </w:rPr>
        <w:t xml:space="preserve">GC is proud to present its complete zirconia solutions, designed to set new standards in strength, aesthetics, and versatility. Our comprehensive workflow offers everything you need to achieve exceptional restorations, from the Zirconia Disk Multilayer Elite to Initial Zirconia </w:t>
      </w:r>
      <w:proofErr w:type="spellStart"/>
      <w:r w:rsidRPr="001B3B9D">
        <w:rPr>
          <w:rFonts w:ascii="Avenir Next LT Pro" w:eastAsia="Verdana" w:hAnsi="Avenir Next LT Pro" w:cs="Verdana"/>
          <w:color w:val="000000" w:themeColor="text1"/>
          <w:lang w:val="en-GB"/>
        </w:rPr>
        <w:t>Coloring</w:t>
      </w:r>
      <w:proofErr w:type="spellEnd"/>
      <w:r w:rsidRPr="001B3B9D">
        <w:rPr>
          <w:rFonts w:ascii="Avenir Next LT Pro" w:eastAsia="Verdana" w:hAnsi="Avenir Next LT Pro" w:cs="Verdana"/>
          <w:color w:val="000000" w:themeColor="text1"/>
          <w:lang w:val="en-GB"/>
        </w:rPr>
        <w:t xml:space="preserve"> Liquids, Initial IQ ONE SQIN, and </w:t>
      </w:r>
      <w:proofErr w:type="spellStart"/>
      <w:r w:rsidRPr="001B3B9D">
        <w:rPr>
          <w:rFonts w:ascii="Avenir Next LT Pro" w:eastAsia="Verdana" w:hAnsi="Avenir Next LT Pro" w:cs="Verdana"/>
          <w:color w:val="000000" w:themeColor="text1"/>
          <w:lang w:val="en-GB"/>
        </w:rPr>
        <w:t>FujiCEM</w:t>
      </w:r>
      <w:proofErr w:type="spellEnd"/>
      <w:r w:rsidRPr="001B3B9D">
        <w:rPr>
          <w:rFonts w:ascii="Avenir Next LT Pro" w:eastAsia="Verdana" w:hAnsi="Avenir Next LT Pro" w:cs="Verdana"/>
          <w:color w:val="000000" w:themeColor="text1"/>
          <w:lang w:val="en-GB"/>
        </w:rPr>
        <w:t xml:space="preserve"> Evolve cementation solutions. Together, these innovations provide a seamless process that ensures outstanding results for anterior and posterior restorations alike.</w:t>
      </w:r>
    </w:p>
    <w:p w14:paraId="34560942" w14:textId="77777777" w:rsidR="001B3B9D" w:rsidRPr="001B3B9D" w:rsidRDefault="001B3B9D" w:rsidP="001B3B9D">
      <w:pPr>
        <w:spacing w:line="360" w:lineRule="auto"/>
        <w:ind w:left="-990" w:right="-868"/>
        <w:rPr>
          <w:rFonts w:ascii="Avenir Next LT Pro" w:eastAsia="Verdana" w:hAnsi="Avenir Next LT Pro" w:cs="Verdana"/>
          <w:color w:val="000000" w:themeColor="text1"/>
          <w:lang w:val="en-GB"/>
        </w:rPr>
      </w:pPr>
      <w:r w:rsidRPr="001B3B9D">
        <w:rPr>
          <w:rFonts w:ascii="Avenir Next LT Pro" w:eastAsia="Verdana" w:hAnsi="Avenir Next LT Pro" w:cs="Verdana"/>
          <w:color w:val="000000" w:themeColor="text1"/>
          <w:lang w:val="en-GB"/>
        </w:rPr>
        <w:t>At the heart of our zirconia solutions is the Zirconia Disk Multilayer Elite, which features a true-to-nature shade and translucency gradient that transitions seamlessly from cervical to incisal. This advanced design mimics natural tooth structure while offering exceptional strength, with a flexural strength of over 1,100 MPa, making it suitable for a wide range of clinical applications, from single crowns to bridges. Additionally, the disk’s fast and versatile sintering capabilities provide efficiency without compromising quality, making it an excellent choice for both productivity and aesthetic excellence.</w:t>
      </w:r>
    </w:p>
    <w:p w14:paraId="63ADF3FA" w14:textId="77777777" w:rsidR="001B3B9D" w:rsidRPr="001B3B9D" w:rsidRDefault="001B3B9D" w:rsidP="001B3B9D">
      <w:pPr>
        <w:spacing w:line="360" w:lineRule="auto"/>
        <w:ind w:left="-990" w:right="-868"/>
        <w:rPr>
          <w:rFonts w:ascii="Avenir Next LT Pro" w:eastAsia="Verdana" w:hAnsi="Avenir Next LT Pro" w:cs="Verdana"/>
          <w:color w:val="000000" w:themeColor="text1"/>
          <w:lang w:val="en-GB"/>
        </w:rPr>
      </w:pPr>
      <w:r w:rsidRPr="001B3B9D">
        <w:rPr>
          <w:rFonts w:ascii="Avenir Next LT Pro" w:eastAsia="Verdana" w:hAnsi="Avenir Next LT Pro" w:cs="Verdana"/>
          <w:color w:val="000000" w:themeColor="text1"/>
          <w:lang w:val="en-GB"/>
        </w:rPr>
        <w:t xml:space="preserve">To enhance the aesthetics of zirconia restorations, GC offers the Initial Zirconia </w:t>
      </w:r>
      <w:proofErr w:type="spellStart"/>
      <w:r w:rsidRPr="001B3B9D">
        <w:rPr>
          <w:rFonts w:ascii="Avenir Next LT Pro" w:eastAsia="Verdana" w:hAnsi="Avenir Next LT Pro" w:cs="Verdana"/>
          <w:color w:val="000000" w:themeColor="text1"/>
          <w:lang w:val="en-GB"/>
        </w:rPr>
        <w:t>Coloring</w:t>
      </w:r>
      <w:proofErr w:type="spellEnd"/>
      <w:r w:rsidRPr="001B3B9D">
        <w:rPr>
          <w:rFonts w:ascii="Avenir Next LT Pro" w:eastAsia="Verdana" w:hAnsi="Avenir Next LT Pro" w:cs="Verdana"/>
          <w:color w:val="000000" w:themeColor="text1"/>
          <w:lang w:val="en-GB"/>
        </w:rPr>
        <w:t xml:space="preserve"> Liquid and Initial IQ ONE SQIN, a ceramics </w:t>
      </w:r>
      <w:proofErr w:type="spellStart"/>
      <w:r w:rsidRPr="001B3B9D">
        <w:rPr>
          <w:rFonts w:ascii="Avenir Next LT Pro" w:eastAsia="Verdana" w:hAnsi="Avenir Next LT Pro" w:cs="Verdana"/>
          <w:color w:val="000000" w:themeColor="text1"/>
          <w:lang w:val="en-GB"/>
        </w:rPr>
        <w:t>microlayering</w:t>
      </w:r>
      <w:proofErr w:type="spellEnd"/>
      <w:r w:rsidRPr="001B3B9D">
        <w:rPr>
          <w:rFonts w:ascii="Avenir Next LT Pro" w:eastAsia="Verdana" w:hAnsi="Avenir Next LT Pro" w:cs="Verdana"/>
          <w:color w:val="000000" w:themeColor="text1"/>
          <w:lang w:val="en-GB"/>
        </w:rPr>
        <w:t xml:space="preserve"> system that allows dental professionals to achieve high-end individualization. The Initial Zirconia </w:t>
      </w:r>
      <w:proofErr w:type="spellStart"/>
      <w:r w:rsidRPr="001B3B9D">
        <w:rPr>
          <w:rFonts w:ascii="Avenir Next LT Pro" w:eastAsia="Verdana" w:hAnsi="Avenir Next LT Pro" w:cs="Verdana"/>
          <w:color w:val="000000" w:themeColor="text1"/>
          <w:lang w:val="en-GB"/>
        </w:rPr>
        <w:t>Coloring</w:t>
      </w:r>
      <w:proofErr w:type="spellEnd"/>
      <w:r w:rsidRPr="001B3B9D">
        <w:rPr>
          <w:rFonts w:ascii="Avenir Next LT Pro" w:eastAsia="Verdana" w:hAnsi="Avenir Next LT Pro" w:cs="Verdana"/>
          <w:color w:val="000000" w:themeColor="text1"/>
          <w:lang w:val="en-GB"/>
        </w:rPr>
        <w:t xml:space="preserve"> Liquid provides a smaller inventory with greater gains . It is now easy to obtain every shade fast and easy with a reduced inventory. The effect </w:t>
      </w:r>
      <w:proofErr w:type="spellStart"/>
      <w:r w:rsidRPr="001B3B9D">
        <w:rPr>
          <w:rFonts w:ascii="Avenir Next LT Pro" w:eastAsia="Verdana" w:hAnsi="Avenir Next LT Pro" w:cs="Verdana"/>
          <w:color w:val="000000" w:themeColor="text1"/>
          <w:lang w:val="en-GB"/>
        </w:rPr>
        <w:t>colors</w:t>
      </w:r>
      <w:proofErr w:type="spellEnd"/>
      <w:r w:rsidRPr="001B3B9D">
        <w:rPr>
          <w:rFonts w:ascii="Avenir Next LT Pro" w:eastAsia="Verdana" w:hAnsi="Avenir Next LT Pro" w:cs="Verdana"/>
          <w:color w:val="000000" w:themeColor="text1"/>
          <w:lang w:val="en-GB"/>
        </w:rPr>
        <w:t xml:space="preserve"> enable dental technicians to refine restorations with natural inner stains that add depth and sophistication. These liquids are designed for consistent application and uniform absorption, resulting in vibrant, natural, and durable </w:t>
      </w:r>
      <w:r w:rsidRPr="001B3B9D">
        <w:rPr>
          <w:rFonts w:ascii="Avenir Next LT Pro" w:eastAsia="Verdana" w:hAnsi="Avenir Next LT Pro" w:cs="Verdana"/>
          <w:color w:val="000000" w:themeColor="text1"/>
          <w:lang w:val="en-GB"/>
        </w:rPr>
        <w:lastRenderedPageBreak/>
        <w:t xml:space="preserve">aesthetics. Whether for complete or partial characterization of zirconia frameworks, either by painting or dipping the </w:t>
      </w:r>
      <w:proofErr w:type="spellStart"/>
      <w:r w:rsidRPr="001B3B9D">
        <w:rPr>
          <w:rFonts w:ascii="Avenir Next LT Pro" w:eastAsia="Verdana" w:hAnsi="Avenir Next LT Pro" w:cs="Verdana"/>
          <w:color w:val="000000" w:themeColor="text1"/>
          <w:lang w:val="en-GB"/>
        </w:rPr>
        <w:t>coloring</w:t>
      </w:r>
      <w:proofErr w:type="spellEnd"/>
      <w:r w:rsidRPr="001B3B9D">
        <w:rPr>
          <w:rFonts w:ascii="Avenir Next LT Pro" w:eastAsia="Verdana" w:hAnsi="Avenir Next LT Pro" w:cs="Verdana"/>
          <w:color w:val="000000" w:themeColor="text1"/>
          <w:lang w:val="en-GB"/>
        </w:rPr>
        <w:t xml:space="preserve"> liquids ensure professional-level customization. of the pre-sintered zirconia structure.  </w:t>
      </w:r>
    </w:p>
    <w:p w14:paraId="2375B735" w14:textId="77777777" w:rsidR="001B3B9D" w:rsidRPr="001B3B9D" w:rsidRDefault="001B3B9D" w:rsidP="001B3B9D">
      <w:pPr>
        <w:spacing w:line="360" w:lineRule="auto"/>
        <w:ind w:left="-990" w:right="-868"/>
        <w:rPr>
          <w:rFonts w:ascii="Avenir Next LT Pro" w:eastAsia="Verdana" w:hAnsi="Avenir Next LT Pro" w:cs="Verdana"/>
          <w:color w:val="000000" w:themeColor="text1"/>
          <w:lang w:val="en-GB"/>
        </w:rPr>
      </w:pPr>
      <w:r w:rsidRPr="001B3B9D">
        <w:rPr>
          <w:rFonts w:ascii="Avenir Next LT Pro" w:eastAsia="Verdana" w:hAnsi="Avenir Next LT Pro" w:cs="Verdana"/>
          <w:color w:val="000000" w:themeColor="text1"/>
          <w:lang w:val="en-GB"/>
        </w:rPr>
        <w:t xml:space="preserve">The Initial IQ ONE SQIN </w:t>
      </w:r>
      <w:proofErr w:type="spellStart"/>
      <w:r w:rsidRPr="001B3B9D">
        <w:rPr>
          <w:rFonts w:ascii="Avenir Next LT Pro" w:eastAsia="Verdana" w:hAnsi="Avenir Next LT Pro" w:cs="Verdana"/>
          <w:color w:val="000000" w:themeColor="text1"/>
          <w:lang w:val="en-GB"/>
        </w:rPr>
        <w:t>microlayering</w:t>
      </w:r>
      <w:proofErr w:type="spellEnd"/>
      <w:r w:rsidRPr="001B3B9D">
        <w:rPr>
          <w:rFonts w:ascii="Avenir Next LT Pro" w:eastAsia="Verdana" w:hAnsi="Avenir Next LT Pro" w:cs="Verdana"/>
          <w:color w:val="000000" w:themeColor="text1"/>
          <w:lang w:val="en-GB"/>
        </w:rPr>
        <w:t xml:space="preserve"> system complements this process by adding form, texture, and gloss, ensuring that restorations not only look lifelike but also have the natural vitality and durability that patients expect.</w:t>
      </w:r>
    </w:p>
    <w:p w14:paraId="7602299E" w14:textId="77777777" w:rsidR="001B3B9D" w:rsidRPr="001B3B9D" w:rsidRDefault="001B3B9D" w:rsidP="001B3B9D">
      <w:pPr>
        <w:spacing w:line="360" w:lineRule="auto"/>
        <w:ind w:left="-990" w:right="-868"/>
        <w:rPr>
          <w:rFonts w:ascii="Avenir Next LT Pro" w:eastAsia="Verdana" w:hAnsi="Avenir Next LT Pro" w:cs="Verdana"/>
          <w:color w:val="000000" w:themeColor="text1"/>
          <w:lang w:val="en-GB"/>
        </w:rPr>
      </w:pPr>
      <w:r w:rsidRPr="001B3B9D">
        <w:rPr>
          <w:rFonts w:ascii="Avenir Next LT Pro" w:eastAsia="Verdana" w:hAnsi="Avenir Next LT Pro" w:cs="Verdana"/>
          <w:color w:val="000000" w:themeColor="text1"/>
          <w:lang w:val="en-GB"/>
        </w:rPr>
        <w:t xml:space="preserve">The final step in our zirconia workflow is cementation, where </w:t>
      </w:r>
      <w:proofErr w:type="spellStart"/>
      <w:r w:rsidRPr="001B3B9D">
        <w:rPr>
          <w:rFonts w:ascii="Avenir Next LT Pro" w:eastAsia="Verdana" w:hAnsi="Avenir Next LT Pro" w:cs="Verdana"/>
          <w:color w:val="000000" w:themeColor="text1"/>
          <w:lang w:val="en-GB"/>
        </w:rPr>
        <w:t>FujiCEM</w:t>
      </w:r>
      <w:proofErr w:type="spellEnd"/>
      <w:r w:rsidRPr="001B3B9D">
        <w:rPr>
          <w:rFonts w:ascii="Avenir Next LT Pro" w:eastAsia="Verdana" w:hAnsi="Avenir Next LT Pro" w:cs="Verdana"/>
          <w:color w:val="000000" w:themeColor="text1"/>
          <w:lang w:val="en-GB"/>
        </w:rPr>
        <w:t xml:space="preserve"> Evolve takes </w:t>
      </w:r>
      <w:proofErr w:type="spellStart"/>
      <w:r w:rsidRPr="001B3B9D">
        <w:rPr>
          <w:rFonts w:ascii="Avenir Next LT Pro" w:eastAsia="Verdana" w:hAnsi="Avenir Next LT Pro" w:cs="Verdana"/>
          <w:color w:val="000000" w:themeColor="text1"/>
          <w:lang w:val="en-GB"/>
        </w:rPr>
        <w:t>center</w:t>
      </w:r>
      <w:proofErr w:type="spellEnd"/>
      <w:r w:rsidRPr="001B3B9D">
        <w:rPr>
          <w:rFonts w:ascii="Avenir Next LT Pro" w:eastAsia="Verdana" w:hAnsi="Avenir Next LT Pro" w:cs="Verdana"/>
          <w:color w:val="000000" w:themeColor="text1"/>
          <w:lang w:val="en-GB"/>
        </w:rPr>
        <w:t xml:space="preserve"> stage. Specifically formulated for zirconia, this resin modified glass ionomer  delivers exceptional handling and reliable adhesion to Zirconia and tooth structure and is particularly useful for restorations with subgingival margins where perfect isolation is challenging. Its versatility , ease of use and seamless excess removal make it an indispensable tool for ensuring the long-term success of zirconia restorations.</w:t>
      </w:r>
    </w:p>
    <w:p w14:paraId="4C038989" w14:textId="77777777" w:rsidR="001B3B9D" w:rsidRPr="001B3B9D" w:rsidRDefault="001B3B9D" w:rsidP="001B3B9D">
      <w:pPr>
        <w:spacing w:line="360" w:lineRule="auto"/>
        <w:ind w:left="-990" w:right="-868"/>
        <w:rPr>
          <w:rFonts w:ascii="Avenir Next LT Pro" w:eastAsia="Verdana" w:hAnsi="Avenir Next LT Pro" w:cs="Verdana"/>
          <w:color w:val="000000" w:themeColor="text1"/>
          <w:lang w:val="en-GB"/>
        </w:rPr>
      </w:pPr>
      <w:r w:rsidRPr="001B3B9D">
        <w:rPr>
          <w:rFonts w:ascii="Avenir Next LT Pro" w:eastAsia="Verdana" w:hAnsi="Avenir Next LT Pro" w:cs="Verdana"/>
          <w:color w:val="000000" w:themeColor="text1"/>
          <w:lang w:val="en-GB"/>
        </w:rPr>
        <w:t>We invite all dental professionals to experience our zirconia solutions firsthand at the Zirconia Solutions Corner at our booth. Here, you’ll have the chance to explore our products, take part in hands-on demonstrations, and witness the seamless integration of GC’s zirconia workflow in action. Renowned experts will also be presenting at our speakers’ corner, offering valuable insights and practical tips for achieving the best results with zirconia. From disks to finishing touches, GC’s zirconia solutions are designed to help you push the boundaries of restorative dentistry.</w:t>
      </w:r>
    </w:p>
    <w:p w14:paraId="6EA3222A" w14:textId="3EC01F6A" w:rsidR="00375891" w:rsidRDefault="001B3B9D" w:rsidP="001B3B9D">
      <w:pPr>
        <w:spacing w:line="360" w:lineRule="auto"/>
        <w:ind w:left="-990" w:right="-868"/>
        <w:rPr>
          <w:rFonts w:ascii="Avenir Next LT Pro" w:eastAsia="Verdana" w:hAnsi="Avenir Next LT Pro" w:cs="Verdana"/>
          <w:color w:val="000000" w:themeColor="text1"/>
          <w:lang w:val="en-GB"/>
        </w:rPr>
      </w:pPr>
      <w:r w:rsidRPr="001B3B9D">
        <w:rPr>
          <w:rFonts w:ascii="Avenir Next LT Pro" w:eastAsia="Verdana" w:hAnsi="Avenir Next LT Pro" w:cs="Verdana"/>
          <w:color w:val="000000" w:themeColor="text1"/>
          <w:lang w:val="en-GB"/>
        </w:rPr>
        <w:t>Visit us at Hall 11.2, Stand N010 - O039, and discover how GC can help you deliver restorations that combine superior strength, stunning aesthetics, and streamlined workflows. Let GC inspire you to create exceptional results with zirconia, all while simplifying your daily practice. Together, let’s unlock the full potential of zirconia solutions and raise the standard of restorative dentistry.</w:t>
      </w:r>
    </w:p>
    <w:p w14:paraId="773053DA" w14:textId="77777777" w:rsidR="001B3B9D" w:rsidRPr="00CA37C2" w:rsidRDefault="001B3B9D" w:rsidP="001B3B9D">
      <w:pPr>
        <w:spacing w:line="360" w:lineRule="auto"/>
        <w:ind w:left="-990" w:right="-868"/>
        <w:rPr>
          <w:rFonts w:ascii="Avenir Next LT Pro" w:eastAsia="Verdana" w:hAnsi="Avenir Next LT Pro" w:cs="Verdana"/>
          <w:color w:val="000000" w:themeColor="text1"/>
          <w:lang w:val="en-GB"/>
        </w:rPr>
      </w:pPr>
    </w:p>
    <w:p w14:paraId="7B8F45D0" w14:textId="77777777" w:rsidR="00375891" w:rsidRPr="00CA37C2" w:rsidRDefault="00375891" w:rsidP="00C436B7">
      <w:pPr>
        <w:spacing w:line="360" w:lineRule="auto"/>
        <w:ind w:left="-990" w:right="-868"/>
        <w:rPr>
          <w:rFonts w:ascii="Avenir Next LT Pro" w:eastAsia="Verdana" w:hAnsi="Avenir Next LT Pro" w:cs="Verdana"/>
          <w:color w:val="000000" w:themeColor="text1"/>
          <w:lang w:val="en-GB"/>
        </w:rPr>
      </w:pPr>
    </w:p>
    <w:p w14:paraId="34A9CF65" w14:textId="1A67B52A" w:rsidR="00C12E8E" w:rsidRPr="00CA37C2" w:rsidRDefault="00C12E8E" w:rsidP="004E2FB3">
      <w:pPr>
        <w:spacing w:line="360" w:lineRule="auto"/>
        <w:ind w:left="-990" w:right="-868"/>
        <w:rPr>
          <w:rFonts w:ascii="Avenir Next LT Pro" w:eastAsia="Verdana" w:hAnsi="Avenir Next LT Pro" w:cs="Verdana"/>
          <w:bCs/>
          <w:color w:val="000000" w:themeColor="text1"/>
          <w:spacing w:val="5"/>
          <w:kern w:val="28"/>
          <w:sz w:val="22"/>
          <w:szCs w:val="22"/>
          <w:u w:color="464646"/>
          <w:lang w:val="fr-FR"/>
        </w:rPr>
      </w:pPr>
      <w:r w:rsidRPr="00CA37C2">
        <w:rPr>
          <w:rFonts w:ascii="Avenir Next LT Pro" w:hAnsi="Avenir Next LT Pro"/>
          <w:bCs/>
          <w:color w:val="000000" w:themeColor="text1"/>
          <w:spacing w:val="5"/>
          <w:kern w:val="28"/>
          <w:sz w:val="22"/>
          <w:szCs w:val="22"/>
          <w:u w:color="464646"/>
          <w:lang w:val="fr-FR"/>
        </w:rPr>
        <w:lastRenderedPageBreak/>
        <w:t>GC Europe N.V.</w:t>
      </w:r>
    </w:p>
    <w:p w14:paraId="71863812"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Interleuvenlaan 33</w:t>
      </w:r>
    </w:p>
    <w:p w14:paraId="452202D6"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3001 Leuven</w:t>
      </w:r>
    </w:p>
    <w:p w14:paraId="44D3AA60" w14:textId="6EC948AB" w:rsidR="00C12E8E" w:rsidRPr="00CA37C2" w:rsidRDefault="00C12E8E" w:rsidP="004E2FB3">
      <w:pPr>
        <w:tabs>
          <w:tab w:val="left" w:pos="708"/>
          <w:tab w:val="left" w:pos="1416"/>
          <w:tab w:val="left" w:pos="2124"/>
          <w:tab w:val="left" w:pos="4020"/>
        </w:tabs>
        <w:spacing w:line="360" w:lineRule="auto"/>
        <w:ind w:left="-990" w:right="-868"/>
        <w:rPr>
          <w:rFonts w:ascii="Avenir Next LT Pro" w:hAnsi="Avenir Next LT Pro"/>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+32.16.74.10.00</w:t>
      </w:r>
      <w:r w:rsidRPr="00CA37C2">
        <w:rPr>
          <w:rFonts w:ascii="Avenir Next LT Pro" w:hAnsi="Avenir Next LT Pro"/>
          <w:color w:val="000000" w:themeColor="text1"/>
          <w:spacing w:val="5"/>
          <w:kern w:val="28"/>
          <w:sz w:val="22"/>
          <w:szCs w:val="22"/>
          <w:u w:color="464646"/>
          <w:lang w:val="fr-FR"/>
        </w:rPr>
        <w:tab/>
      </w:r>
    </w:p>
    <w:p w14:paraId="3AF5C46E" w14:textId="408D2A99" w:rsidR="00567F3E" w:rsidRPr="00CA37C2" w:rsidRDefault="00567F3E" w:rsidP="004E2FB3">
      <w:pPr>
        <w:tabs>
          <w:tab w:val="left" w:pos="708"/>
          <w:tab w:val="left" w:pos="1416"/>
          <w:tab w:val="left" w:pos="2124"/>
          <w:tab w:val="left" w:pos="4020"/>
        </w:tabs>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https://www.gc.dental/europe</w:t>
      </w:r>
    </w:p>
    <w:p w14:paraId="17B68DE6" w14:textId="48A6327A" w:rsidR="000A485C" w:rsidRPr="00CA37C2" w:rsidRDefault="007D00B3"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hyperlink r:id="rId10" w:history="1">
        <w:r w:rsidRPr="00CA37C2">
          <w:rPr>
            <w:rStyle w:val="Hyperlink"/>
            <w:rFonts w:ascii="Avenir Next LT Pro" w:hAnsi="Avenir Next LT Pro"/>
            <w:color w:val="000000" w:themeColor="text1"/>
            <w:spacing w:val="5"/>
            <w:kern w:val="28"/>
            <w:sz w:val="22"/>
            <w:szCs w:val="22"/>
            <w:u w:val="none"/>
            <w:lang w:val="fr-FR"/>
          </w:rPr>
          <w:t>info.gce@gc.dental</w:t>
        </w:r>
      </w:hyperlink>
    </w:p>
    <w:p w14:paraId="2AEB49FD" w14:textId="77777777" w:rsidR="00A5023C" w:rsidRPr="00CA37C2" w:rsidRDefault="00A5023C"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p>
    <w:sectPr w:rsidR="00A5023C" w:rsidRPr="00CA37C2" w:rsidSect="00375891">
      <w:headerReference w:type="default" r:id="rId11"/>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E3FD" w14:textId="77777777" w:rsidR="009F019F" w:rsidRDefault="009F019F">
      <w:r>
        <w:separator/>
      </w:r>
    </w:p>
  </w:endnote>
  <w:endnote w:type="continuationSeparator" w:id="0">
    <w:p w14:paraId="66750CCC" w14:textId="77777777" w:rsidR="009F019F" w:rsidRDefault="009F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8D10E" w14:textId="77777777" w:rsidR="009F019F" w:rsidRDefault="009F019F">
      <w:r>
        <w:separator/>
      </w:r>
    </w:p>
  </w:footnote>
  <w:footnote w:type="continuationSeparator" w:id="0">
    <w:p w14:paraId="460AA9AA" w14:textId="77777777" w:rsidR="009F019F" w:rsidRDefault="009F0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0320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C51"/>
    <w:rsid w:val="000064DE"/>
    <w:rsid w:val="0001042E"/>
    <w:rsid w:val="00014D2C"/>
    <w:rsid w:val="000207F2"/>
    <w:rsid w:val="00022CFD"/>
    <w:rsid w:val="00030A36"/>
    <w:rsid w:val="000455B2"/>
    <w:rsid w:val="00045DA8"/>
    <w:rsid w:val="00046D80"/>
    <w:rsid w:val="000578B1"/>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61F53"/>
    <w:rsid w:val="0016511A"/>
    <w:rsid w:val="00167D45"/>
    <w:rsid w:val="00176AEF"/>
    <w:rsid w:val="001B3B9D"/>
    <w:rsid w:val="001B5343"/>
    <w:rsid w:val="001B5373"/>
    <w:rsid w:val="001C1388"/>
    <w:rsid w:val="001E2384"/>
    <w:rsid w:val="001E3E8C"/>
    <w:rsid w:val="00204E47"/>
    <w:rsid w:val="00206A13"/>
    <w:rsid w:val="002107C7"/>
    <w:rsid w:val="00236B8D"/>
    <w:rsid w:val="00247359"/>
    <w:rsid w:val="00270FCD"/>
    <w:rsid w:val="00283337"/>
    <w:rsid w:val="00291EEA"/>
    <w:rsid w:val="002974A2"/>
    <w:rsid w:val="002A1F4F"/>
    <w:rsid w:val="002A4426"/>
    <w:rsid w:val="002C389F"/>
    <w:rsid w:val="002E51F2"/>
    <w:rsid w:val="003042DF"/>
    <w:rsid w:val="00312F6E"/>
    <w:rsid w:val="00315091"/>
    <w:rsid w:val="00321DE6"/>
    <w:rsid w:val="0032290E"/>
    <w:rsid w:val="00325206"/>
    <w:rsid w:val="00327168"/>
    <w:rsid w:val="00344E04"/>
    <w:rsid w:val="003602A1"/>
    <w:rsid w:val="00375891"/>
    <w:rsid w:val="00390C9F"/>
    <w:rsid w:val="003A434A"/>
    <w:rsid w:val="003B1417"/>
    <w:rsid w:val="003B4C34"/>
    <w:rsid w:val="003C645C"/>
    <w:rsid w:val="003D5E25"/>
    <w:rsid w:val="003F1B6F"/>
    <w:rsid w:val="00412841"/>
    <w:rsid w:val="004413E2"/>
    <w:rsid w:val="00444A98"/>
    <w:rsid w:val="00453816"/>
    <w:rsid w:val="00480DBA"/>
    <w:rsid w:val="00481DAB"/>
    <w:rsid w:val="0049147A"/>
    <w:rsid w:val="00492F65"/>
    <w:rsid w:val="00495DD2"/>
    <w:rsid w:val="004A245C"/>
    <w:rsid w:val="004C3D5F"/>
    <w:rsid w:val="004C48D0"/>
    <w:rsid w:val="004D0FBF"/>
    <w:rsid w:val="004D3B6C"/>
    <w:rsid w:val="004E2FB3"/>
    <w:rsid w:val="00502C6F"/>
    <w:rsid w:val="0052480D"/>
    <w:rsid w:val="00552443"/>
    <w:rsid w:val="005579D5"/>
    <w:rsid w:val="00567F3E"/>
    <w:rsid w:val="00572892"/>
    <w:rsid w:val="00587CDE"/>
    <w:rsid w:val="005D1861"/>
    <w:rsid w:val="005D7797"/>
    <w:rsid w:val="005E7894"/>
    <w:rsid w:val="00610AAC"/>
    <w:rsid w:val="006125B9"/>
    <w:rsid w:val="00614BAD"/>
    <w:rsid w:val="00616A54"/>
    <w:rsid w:val="00616F42"/>
    <w:rsid w:val="00617D27"/>
    <w:rsid w:val="00631D36"/>
    <w:rsid w:val="0063721E"/>
    <w:rsid w:val="00642020"/>
    <w:rsid w:val="00657BB0"/>
    <w:rsid w:val="0066042E"/>
    <w:rsid w:val="00671E66"/>
    <w:rsid w:val="00681CE3"/>
    <w:rsid w:val="006822E2"/>
    <w:rsid w:val="006C68FF"/>
    <w:rsid w:val="006D0C1F"/>
    <w:rsid w:val="0070518E"/>
    <w:rsid w:val="0072441C"/>
    <w:rsid w:val="00737C03"/>
    <w:rsid w:val="00775ABD"/>
    <w:rsid w:val="00776B7A"/>
    <w:rsid w:val="00776E54"/>
    <w:rsid w:val="007847F0"/>
    <w:rsid w:val="007973C3"/>
    <w:rsid w:val="007B054F"/>
    <w:rsid w:val="007D00B3"/>
    <w:rsid w:val="007D7D19"/>
    <w:rsid w:val="007E0547"/>
    <w:rsid w:val="007E41A8"/>
    <w:rsid w:val="007E448B"/>
    <w:rsid w:val="0080482A"/>
    <w:rsid w:val="00805200"/>
    <w:rsid w:val="00807AFC"/>
    <w:rsid w:val="00821D97"/>
    <w:rsid w:val="00850425"/>
    <w:rsid w:val="00855461"/>
    <w:rsid w:val="008663A4"/>
    <w:rsid w:val="00867C29"/>
    <w:rsid w:val="008753D9"/>
    <w:rsid w:val="00876796"/>
    <w:rsid w:val="00881F99"/>
    <w:rsid w:val="008A56E8"/>
    <w:rsid w:val="008A629E"/>
    <w:rsid w:val="008A7D3D"/>
    <w:rsid w:val="008D73C8"/>
    <w:rsid w:val="008E1A49"/>
    <w:rsid w:val="008F7868"/>
    <w:rsid w:val="00900A7A"/>
    <w:rsid w:val="00905E3A"/>
    <w:rsid w:val="00906474"/>
    <w:rsid w:val="00911D35"/>
    <w:rsid w:val="009149F1"/>
    <w:rsid w:val="00914C1C"/>
    <w:rsid w:val="00917845"/>
    <w:rsid w:val="00933CBE"/>
    <w:rsid w:val="00960DB7"/>
    <w:rsid w:val="00977829"/>
    <w:rsid w:val="00981F33"/>
    <w:rsid w:val="00986AA8"/>
    <w:rsid w:val="00997CA1"/>
    <w:rsid w:val="009C1D99"/>
    <w:rsid w:val="009D4A1F"/>
    <w:rsid w:val="009E52BD"/>
    <w:rsid w:val="009F019F"/>
    <w:rsid w:val="00A304BF"/>
    <w:rsid w:val="00A5023C"/>
    <w:rsid w:val="00A65A6F"/>
    <w:rsid w:val="00A67AE7"/>
    <w:rsid w:val="00A7156F"/>
    <w:rsid w:val="00A72DAB"/>
    <w:rsid w:val="00A7746D"/>
    <w:rsid w:val="00A80F69"/>
    <w:rsid w:val="00A844B5"/>
    <w:rsid w:val="00AC7463"/>
    <w:rsid w:val="00AC77C3"/>
    <w:rsid w:val="00AE06AA"/>
    <w:rsid w:val="00B0362E"/>
    <w:rsid w:val="00B04612"/>
    <w:rsid w:val="00B057F3"/>
    <w:rsid w:val="00B0625B"/>
    <w:rsid w:val="00B113EF"/>
    <w:rsid w:val="00B1164E"/>
    <w:rsid w:val="00B20BBD"/>
    <w:rsid w:val="00B20FF6"/>
    <w:rsid w:val="00B37943"/>
    <w:rsid w:val="00B449F7"/>
    <w:rsid w:val="00B80A18"/>
    <w:rsid w:val="00B85591"/>
    <w:rsid w:val="00BB5D11"/>
    <w:rsid w:val="00BD25AB"/>
    <w:rsid w:val="00BD4617"/>
    <w:rsid w:val="00BE1580"/>
    <w:rsid w:val="00BE5C2D"/>
    <w:rsid w:val="00C12E8E"/>
    <w:rsid w:val="00C2221D"/>
    <w:rsid w:val="00C436B7"/>
    <w:rsid w:val="00C60B64"/>
    <w:rsid w:val="00C75B1C"/>
    <w:rsid w:val="00CA37C2"/>
    <w:rsid w:val="00CA5DBB"/>
    <w:rsid w:val="00CC6660"/>
    <w:rsid w:val="00D16301"/>
    <w:rsid w:val="00D21359"/>
    <w:rsid w:val="00D33936"/>
    <w:rsid w:val="00D47601"/>
    <w:rsid w:val="00DB50BD"/>
    <w:rsid w:val="00DC1238"/>
    <w:rsid w:val="00DC62A2"/>
    <w:rsid w:val="00DD0058"/>
    <w:rsid w:val="00DD11C7"/>
    <w:rsid w:val="00DD4ADD"/>
    <w:rsid w:val="00DF2CD3"/>
    <w:rsid w:val="00DF3946"/>
    <w:rsid w:val="00E00439"/>
    <w:rsid w:val="00E051D7"/>
    <w:rsid w:val="00E07420"/>
    <w:rsid w:val="00E1779E"/>
    <w:rsid w:val="00E23C42"/>
    <w:rsid w:val="00E26DFB"/>
    <w:rsid w:val="00E34C95"/>
    <w:rsid w:val="00E37A44"/>
    <w:rsid w:val="00E561B3"/>
    <w:rsid w:val="00E60E82"/>
    <w:rsid w:val="00E62825"/>
    <w:rsid w:val="00E63231"/>
    <w:rsid w:val="00E675E8"/>
    <w:rsid w:val="00E767CA"/>
    <w:rsid w:val="00E833B6"/>
    <w:rsid w:val="00EA4468"/>
    <w:rsid w:val="00ED2B9D"/>
    <w:rsid w:val="00ED59B2"/>
    <w:rsid w:val="00EE790F"/>
    <w:rsid w:val="00F5342D"/>
    <w:rsid w:val="00F966A1"/>
    <w:rsid w:val="00FB5078"/>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en-US"/>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en-US"/>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ce@gc.dent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C26BEF033A1640B2F93FDACFE41C08" ma:contentTypeVersion="14" ma:contentTypeDescription="Create a new document." ma:contentTypeScope="" ma:versionID="6cc2baa107d7a90776cb0e9e628a5ce2">
  <xsd:schema xmlns:xsd="http://www.w3.org/2001/XMLSchema" xmlns:xs="http://www.w3.org/2001/XMLSchema" xmlns:p="http://schemas.microsoft.com/office/2006/metadata/properties" xmlns:ns2="75a7ced3-6034-42ab-8086-73bcc9b2da3d" xmlns:ns3="fbc17045-f088-4e89-878a-d67d32a07470" targetNamespace="http://schemas.microsoft.com/office/2006/metadata/properties" ma:root="true" ma:fieldsID="73a3484f214d7711701ee13008ae8337" ns2:_="" ns3:_="">
    <xsd:import namespace="75a7ced3-6034-42ab-8086-73bcc9b2da3d"/>
    <xsd:import namespace="fbc17045-f088-4e89-878a-d67d32a07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ed3-6034-42ab-8086-73bcc9b2d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398ed-f563-4533-8dea-c3eb04a4ffb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17045-f088-4e89-878a-d67d32a074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4c7a4-25b1-4e03-823a-b857dd1905a3}" ma:internalName="TaxCatchAll" ma:showField="CatchAllData" ma:web="fbc17045-f088-4e89-878a-d67d32a0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a7ced3-6034-42ab-8086-73bcc9b2da3d">
      <Terms xmlns="http://schemas.microsoft.com/office/infopath/2007/PartnerControls"/>
    </lcf76f155ced4ddcb4097134ff3c332f>
    <TaxCatchAll xmlns="fbc17045-f088-4e89-878a-d67d32a07470" xsi:nil="true"/>
  </documentManagement>
</p:properties>
</file>

<file path=customXml/itemProps1.xml><?xml version="1.0" encoding="utf-8"?>
<ds:datastoreItem xmlns:ds="http://schemas.openxmlformats.org/officeDocument/2006/customXml" ds:itemID="{A2E26288-493F-4442-994A-6C9F5534ED7E}">
  <ds:schemaRefs>
    <ds:schemaRef ds:uri="http://schemas.microsoft.com/sharepoint/v3/contenttype/forms"/>
  </ds:schemaRefs>
</ds:datastoreItem>
</file>

<file path=customXml/itemProps2.xml><?xml version="1.0" encoding="utf-8"?>
<ds:datastoreItem xmlns:ds="http://schemas.openxmlformats.org/officeDocument/2006/customXml" ds:itemID="{CBE6FC8B-BCE9-415D-89D6-39E472B7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ed3-6034-42ab-8086-73bcc9b2da3d"/>
    <ds:schemaRef ds:uri="fbc17045-f088-4e89-878a-d67d32a0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804DC-6AF4-4D9D-80B9-C7A7641841CD}">
  <ds:schemaRefs>
    <ds:schemaRef ds:uri="http://schemas.microsoft.com/office/2006/metadata/properties"/>
    <ds:schemaRef ds:uri="http://schemas.microsoft.com/office/infopath/2007/PartnerControls"/>
    <ds:schemaRef ds:uri="75a7ced3-6034-42ab-8086-73bcc9b2da3d"/>
    <ds:schemaRef ds:uri="fbc17045-f088-4e89-878a-d67d32a074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Taeleman, Liesbeth</cp:lastModifiedBy>
  <cp:revision>4</cp:revision>
  <cp:lastPrinted>2020-01-21T15:04:00Z</cp:lastPrinted>
  <dcterms:created xsi:type="dcterms:W3CDTF">2025-03-21T12:28:00Z</dcterms:created>
  <dcterms:modified xsi:type="dcterms:W3CDTF">2025-03-21T15:18:00Z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0x010100C0C26BEF033A1640B2F93FDACFE41C08</vt:lpwstr>
  </property>
  <property fmtid="{D5CDD505-2E9C-101B-9397-08002B2CF9AE}" pid="3" name="Order">
    <vt:r8>1574600</vt:r8>
  </property>
  <property fmtid="{D5CDD505-2E9C-101B-9397-08002B2CF9AE}" pid="4" name="MediaServiceImageTags">
    <vt:lpwstr/>
  </property>
</Properties>
</file>